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DA" w:rsidRPr="00E67DDA" w:rsidRDefault="00E67DDA" w:rsidP="00E67D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E2022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b/>
          <w:color w:val="1E2022"/>
          <w:sz w:val="24"/>
          <w:szCs w:val="24"/>
          <w:lang w:eastAsia="ru-RU"/>
        </w:rPr>
        <w:t>Применение метода интеллектуальных карт (картирование) в коррекционной работе учителя – логопеда Гордеевой Е.Ю.  с детьми дошкольного возраста.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информационных технологий, в которое мы живем, заставляет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– логопеда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больше задумываться о том, как помочь детям охватить объем информации, обрушивающийся на них,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увидеть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взаимосвязь событий и явлений вокруг себя, понять, что у всего есть причина и следствие.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- логопед должен не просто научить детей думать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еще и творить. </w:t>
      </w:r>
      <w:proofErr w:type="gramStart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считать, что информация хранится в памяти в нескольких видах, в том числе в вербальном (речевом, визуальном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(наглядном)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кинетическом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(двигательном)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Думая, мы, строим свой образ объекта; запоминая, его воображаем, проговариваем, представляем его четырехмерным (как он будет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выглядеть в пространстве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времени займет его изготовление, использование и т. п.). Мысль человека отделяется от первоначального образа, мгновенно расходится по различным связям, возвращается к исходному пункту, но при этом меняет точку отсчета, преобразует предмет, от которого отталкивалась. Проще всего, как считают многие педагоги, изобразить такой процесс в виде ментальной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структуре она похожа на рисунок клетки с отростками, дерево с кроной и корневой системой, переплетение трещин, пучок водорослей, прожилки на листе или обломок коралла, иными словами, на естественный процесс роста и развития, запечатленный в плоском двухмерном виде.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Теоретико-методологические основы обучения картированию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дошкольного образования предполагает необходимость поиска новых средств развития ребенка,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различных образовательных технологий и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способствуют приобретению дошкольниками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интегративных качеств личности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любознательности, активности; овладение средствами общения и способами взаимодействия </w:t>
      </w:r>
      <w:proofErr w:type="gramStart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Интеллект-карты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 только уникальный и простой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запоминания информации.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Интеллект-карта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технология изображения информации в графическом виде, наглядный способ представления информации, который отражает связи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(смысловые, ассоциативные, причинно-следственные и другие)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понятиями, частями, составляющими проблемы или предметной области.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естественное выражение того, как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работает мозг ребенка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 буквальном смысле,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ума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составлении которой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работают </w:t>
      </w:r>
      <w:r w:rsidRPr="00E67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оба полушария мозга и задействованы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непосредственная память,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ассоциативное мышление,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 мышление.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</w:t>
      </w:r>
      <w:proofErr w:type="gramStart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составленной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интеллект-карты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её наглядность. Вся проблема с ее многочисленными сторонами и гранями оказывается прямо перед вами, ее можно окинуть одним взглядом.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Второе, она привлекательна для ребёнка. </w:t>
      </w:r>
      <w:proofErr w:type="gramStart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интеллект-карта имеет свою эстетику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рассматривать не только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приятно.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Третье,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 карта легко запоминается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обоих полушарий мозга, использованию образов и цвета она легко запоминается дошкольниками.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Интеллект-карта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наглядно запомнить всю информацию. Для лучшего запоминания и усвоения желательно использовать рисунки,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картинки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ассоциации.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 карт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 </w:t>
      </w:r>
      <w:proofErr w:type="gramStart"/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интеллект-карты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использование различных графических средств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(рисунков, символов, стрелочек, шрифтов)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67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Лист предпочтительно располагать горизонтально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отводится больше места под рисунок, что позволит его расширять и модернизировать. В центре страницы помещается и графически акцентируется главная идея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E67D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например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цель, предмет, название новой темы)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разноцветного выделения из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«главной идеи»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выводятся линии (ветви, каждая из которых соответствует определённому фрагменту рассматриваемой темы.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ветвь подписывается. Для названия ветви подбирается ключевое слово, наиболее полно соответствующее теме данной ветви. На крупных ветвях помещаются более мелкие, соответствующие рассматриваемым в теме ветви деталям, для их именования также подбираются ключевые слова.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детализироваться настолько, насколько это необходимо для понимания темы. Для этого нужно просто добавлять всё более мелкие веточки к общему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«дереву»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E67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Именно в этом и заключается движение от общего к частному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центре находится общее – тема (её сразу видно, а во все стороны от этой ключевой записи идут более мелкие темы и данные по мере уменьшения их общности.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слова пишутся печатными буквами, разборчиво; размер шрифта подбирается в соответствии с важностью данного ключевого слова.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карты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быть обильно снабжены различными рисунками и собственными символами (правое полушарие в своей деятельности ориентируется не на слова, а в основном на образы, пространственные структуры). Различными стрелочками показываются связи между понятиями.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интеллектуальных карт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полезен в любой сфере жизни, где требуется развивать и совершенствовать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способности личности и решать 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разнообразные задачи и проблемы, которые ставит перед нами жизнь. Однако его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 эффективно в процессе обучения. Разумеется, педагог сам предварительно составляет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карты по теме занятия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в ходе исследования-беседы ребенок открывает или зарисовывает соответствующую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картинку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символ для обозначения понятия или представления.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 - карте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ключевой идеей является тема проекта, а ветки – его содержание, которое наполняется в процессе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моделью трех вопросов. </w:t>
      </w:r>
      <w:proofErr w:type="gramStart"/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(Что я знаю?</w:t>
      </w:r>
      <w:proofErr w:type="gramEnd"/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хочу узнать? </w:t>
      </w:r>
      <w:proofErr w:type="gramStart"/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узнать)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Модель трех вопросов обозначается разными цветами.</w:t>
      </w:r>
      <w:proofErr w:type="gramEnd"/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карты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структурировать информацию, которую ребёнку предстоит усвоить, разбить её на конкретные образные единицы с последующей организацией их в целостные системы по законам, соответствующим наиболее эффективной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человеческого мозга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Единицей информации является целостный самостоятельный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«чувственный образ»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понятен ребёнку, может быть им осмыслен и легко включён в систему его личного опыта. В рамках проекта «Внедрение бережливых технологий в деятельность дошкольных образовательных организаций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(Бережливый детский сад)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картирования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E67D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интеллектуальных карт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применяется и в работе с детьми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тяжелыми нарушениями речи, составлены авторские ментальные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выполнения артикуляционных упражнений, постановки и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коррекции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звуковой стороны речи.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выполнения артикуляционных упражнений и постановки звука [ч] и звука [</w:t>
      </w:r>
      <w:proofErr w:type="gramStart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метода интеллектуальных карт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E67D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картирование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и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умения делить поток речи на законченные структурно – смысловые единицы, вычленять предмет мысли, структурно и интонационно оформлять мысль, соединяя слова в предложения.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интеллектуальной карты 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E67D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картирование</w:t>
      </w:r>
      <w:r w:rsidRPr="00E67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умения делить поток речи на законченные структурно – смысловые единицы, вычленять предмет мысли, структурно и интонационно оформлять мысль, соединяя слова в предложения</w:t>
      </w: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можно сделать вывод о том, что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интеллектуальных ка</w:t>
      </w:r>
      <w:proofErr w:type="gramStart"/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 в пр</w:t>
      </w:r>
      <w:proofErr w:type="gramEnd"/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оцессе коррекционной работы с детьми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тяжелые нарушения речи, способствует познавательному и речевому развитию ребёнка. В условиях реализации ФГОС использование </w:t>
      </w:r>
      <w:proofErr w:type="gramStart"/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интеллект-карты</w:t>
      </w:r>
      <w:proofErr w:type="gramEnd"/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осуществлять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интеграцию областей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коммуникация, познание и социализация.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очень эффективной, так как 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всех этапах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предусматривается опора на наглядность и моделирование, что способствует развитию восприятия, памяти, мышления, воображения, творческих способностей, словаря, грамматического строя и планирующей функции речи. В результате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интеллектуальных карт ребёнок учится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только усваивать информацию, но и оперативно с ней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и ценен этот </w:t>
      </w:r>
      <w:r w:rsidRPr="00E6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</w:t>
      </w:r>
      <w:r w:rsidRPr="00E67DD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универсальным способом познания окружающего мира и знаний, накопленных человеком, формирует преемственность между детским садом и школой.</w:t>
      </w:r>
    </w:p>
    <w:p w:rsidR="00F572C8" w:rsidRPr="00E67DDA" w:rsidRDefault="00E67DDA" w:rsidP="00E6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DDA" w:rsidRPr="00E67DDA" w:rsidRDefault="00E67DDA" w:rsidP="00E6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7DDA" w:rsidRPr="00E6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DA"/>
    <w:rsid w:val="00321811"/>
    <w:rsid w:val="00863213"/>
    <w:rsid w:val="00E6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3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2020-11-06T12:08:00Z</dcterms:created>
  <dcterms:modified xsi:type="dcterms:W3CDTF">2020-11-06T12:14:00Z</dcterms:modified>
</cp:coreProperties>
</file>